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8856"/>
      </w:tblGrid>
      <w:tr w:rsidR="00552E7C" w:rsidTr="006D5D22">
        <w:trPr>
          <w:trHeight w:val="2181"/>
        </w:trPr>
        <w:tc>
          <w:tcPr>
            <w:tcW w:w="8856" w:type="dxa"/>
          </w:tcPr>
          <w:p w:rsidR="00FF232D" w:rsidRDefault="005E3A92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65733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RDefault="00426518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RDefault="005E3A92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5E3A92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Cecilia </w:t>
            </w:r>
            <w:proofErr w:type="spellStart"/>
            <w:r>
              <w:rPr>
                <w:bCs/>
                <w:sz w:val="22"/>
                <w:szCs w:val="22"/>
              </w:rPr>
              <w:t>Sulhoff</w:t>
            </w:r>
            <w:proofErr w:type="spellEnd"/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587</w:t>
            </w:r>
          </w:p>
          <w:p w:rsidR="00FF232D" w:rsidRPr="008A3940" w:rsidRDefault="005E3A92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AA1173">
              <w:rPr>
                <w:bCs/>
                <w:sz w:val="22"/>
                <w:szCs w:val="22"/>
              </w:rPr>
              <w:t>ecilia.sulhoff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5E3A92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RDefault="005E3A92" w:rsidP="003A446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B4612E">
              <w:rPr>
                <w:b/>
                <w:bCs/>
                <w:sz w:val="26"/>
                <w:szCs w:val="26"/>
              </w:rPr>
              <w:t>ACTS</w:t>
            </w:r>
            <w:r>
              <w:rPr>
                <w:b/>
                <w:bCs/>
                <w:sz w:val="26"/>
                <w:szCs w:val="26"/>
              </w:rPr>
              <w:t xml:space="preserve"> TO FACILITATE DEPLOYMENT</w:t>
            </w:r>
          </w:p>
          <w:p w:rsidR="00FF7CEF" w:rsidRDefault="005E3A92" w:rsidP="003A446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OF </w:t>
            </w:r>
            <w:r w:rsidR="00F954A0">
              <w:rPr>
                <w:b/>
                <w:bCs/>
                <w:sz w:val="26"/>
                <w:szCs w:val="26"/>
              </w:rPr>
              <w:t xml:space="preserve">5G AND </w:t>
            </w:r>
            <w:r>
              <w:rPr>
                <w:b/>
                <w:bCs/>
                <w:sz w:val="26"/>
                <w:szCs w:val="26"/>
              </w:rPr>
              <w:t>WIRELESS BROADBAND INFRASTRUCTURE</w:t>
            </w:r>
          </w:p>
          <w:p w:rsidR="003A4464" w:rsidRDefault="003A4464" w:rsidP="003A446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BD19E8" w:rsidRPr="00FF7CEF" w:rsidRDefault="005E3A9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1902C4">
              <w:rPr>
                <w:sz w:val="22"/>
                <w:szCs w:val="22"/>
              </w:rPr>
              <w:t>March 22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="000E049E" w:rsidRP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FF7CEF">
              <w:rPr>
                <w:sz w:val="22"/>
                <w:szCs w:val="22"/>
              </w:rPr>
              <w:t xml:space="preserve">adopted </w:t>
            </w:r>
            <w:r w:rsidR="00D15180">
              <w:rPr>
                <w:sz w:val="22"/>
                <w:szCs w:val="22"/>
              </w:rPr>
              <w:t>new rules</w:t>
            </w:r>
            <w:r w:rsidR="00FF7CEF">
              <w:rPr>
                <w:sz w:val="22"/>
                <w:szCs w:val="22"/>
              </w:rPr>
              <w:t xml:space="preserve"> streamlining the wireless infrastructure </w:t>
            </w:r>
            <w:proofErr w:type="spellStart"/>
            <w:r w:rsidR="00F954A0">
              <w:rPr>
                <w:sz w:val="22"/>
                <w:szCs w:val="22"/>
              </w:rPr>
              <w:t>siting</w:t>
            </w:r>
            <w:proofErr w:type="spellEnd"/>
            <w:r w:rsidR="00F954A0">
              <w:rPr>
                <w:sz w:val="22"/>
                <w:szCs w:val="22"/>
              </w:rPr>
              <w:t xml:space="preserve"> </w:t>
            </w:r>
            <w:r w:rsidR="00FF7CEF">
              <w:rPr>
                <w:sz w:val="22"/>
                <w:szCs w:val="22"/>
              </w:rPr>
              <w:t>review process to facilitate the deployme</w:t>
            </w:r>
            <w:r w:rsidR="001902C4">
              <w:rPr>
                <w:sz w:val="22"/>
                <w:szCs w:val="22"/>
              </w:rPr>
              <w:t>n</w:t>
            </w:r>
            <w:r w:rsidR="00FF7CEF">
              <w:rPr>
                <w:sz w:val="22"/>
                <w:szCs w:val="22"/>
              </w:rPr>
              <w:t>t of next-generation wireless facilities.</w:t>
            </w:r>
            <w:r w:rsidR="00F857FE">
              <w:rPr>
                <w:sz w:val="22"/>
                <w:szCs w:val="22"/>
              </w:rPr>
              <w:t xml:space="preserve"> </w:t>
            </w:r>
          </w:p>
          <w:p w:rsidR="00850E26" w:rsidRPr="00FF7CEF" w:rsidRDefault="00850E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15180" w:rsidRDefault="005E3A9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part of the FCC’s</w:t>
            </w:r>
            <w:r w:rsidR="001902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efforts</w:t>
            </w:r>
            <w:r w:rsidR="001902C4">
              <w:rPr>
                <w:sz w:val="22"/>
                <w:szCs w:val="22"/>
              </w:rPr>
              <w:t>,</w:t>
            </w:r>
            <w:r w:rsidR="00FF7CEF" w:rsidRPr="00FF7CEF">
              <w:rPr>
                <w:sz w:val="22"/>
                <w:szCs w:val="22"/>
              </w:rPr>
              <w:t xml:space="preserve"> the agency consult</w:t>
            </w:r>
            <w:r w:rsidR="00D22402">
              <w:rPr>
                <w:sz w:val="22"/>
                <w:szCs w:val="22"/>
              </w:rPr>
              <w:t>ed</w:t>
            </w:r>
            <w:r w:rsidR="00FF7CEF" w:rsidRPr="00FF7CEF">
              <w:rPr>
                <w:sz w:val="22"/>
                <w:szCs w:val="22"/>
              </w:rPr>
              <w:t xml:space="preserve"> with </w:t>
            </w:r>
            <w:r w:rsidR="00D22402">
              <w:rPr>
                <w:sz w:val="22"/>
                <w:szCs w:val="22"/>
              </w:rPr>
              <w:t xml:space="preserve">a wide range of </w:t>
            </w:r>
            <w:r w:rsidR="00F857FE">
              <w:rPr>
                <w:sz w:val="22"/>
                <w:szCs w:val="22"/>
              </w:rPr>
              <w:t xml:space="preserve">communities </w:t>
            </w:r>
            <w:r w:rsidR="00FF7CEF" w:rsidRPr="00FF7CEF">
              <w:rPr>
                <w:sz w:val="22"/>
                <w:szCs w:val="22"/>
              </w:rPr>
              <w:t>to determine the</w:t>
            </w:r>
            <w:r w:rsidR="00F954A0">
              <w:rPr>
                <w:sz w:val="22"/>
                <w:szCs w:val="22"/>
              </w:rPr>
              <w:t xml:space="preserve"> appropriate</w:t>
            </w:r>
            <w:r w:rsidR="00FF7CEF" w:rsidRPr="00FF7CEF">
              <w:rPr>
                <w:sz w:val="22"/>
                <w:szCs w:val="22"/>
              </w:rPr>
              <w:t xml:space="preserve"> steps </w:t>
            </w:r>
            <w:r w:rsidR="00F954A0">
              <w:rPr>
                <w:sz w:val="22"/>
                <w:szCs w:val="22"/>
              </w:rPr>
              <w:t xml:space="preserve">needed </w:t>
            </w:r>
            <w:r w:rsidR="00FF7CEF" w:rsidRPr="00FF7CEF">
              <w:rPr>
                <w:sz w:val="22"/>
                <w:szCs w:val="22"/>
              </w:rPr>
              <w:t xml:space="preserve">to enable the </w:t>
            </w:r>
            <w:r w:rsidR="00D22402">
              <w:rPr>
                <w:sz w:val="22"/>
                <w:szCs w:val="22"/>
              </w:rPr>
              <w:t xml:space="preserve">rapid and efficient </w:t>
            </w:r>
            <w:r w:rsidR="00FF7CEF" w:rsidRPr="00FF7CEF">
              <w:rPr>
                <w:sz w:val="22"/>
                <w:szCs w:val="22"/>
              </w:rPr>
              <w:t xml:space="preserve">deployment of </w:t>
            </w:r>
            <w:r>
              <w:rPr>
                <w:sz w:val="22"/>
                <w:szCs w:val="22"/>
              </w:rPr>
              <w:t xml:space="preserve">next-generation wireless </w:t>
            </w:r>
            <w:r w:rsidR="00FF7CEF" w:rsidRPr="00FF7CEF">
              <w:rPr>
                <w:sz w:val="22"/>
                <w:szCs w:val="22"/>
              </w:rPr>
              <w:t>network</w:t>
            </w:r>
            <w:r>
              <w:rPr>
                <w:sz w:val="22"/>
                <w:szCs w:val="22"/>
              </w:rPr>
              <w:t>s—or 5G—</w:t>
            </w:r>
            <w:r w:rsidR="00FF7CEF" w:rsidRPr="00FF7CEF">
              <w:rPr>
                <w:sz w:val="22"/>
                <w:szCs w:val="22"/>
              </w:rPr>
              <w:t xml:space="preserve"> throughout </w:t>
            </w:r>
            <w:r>
              <w:rPr>
                <w:sz w:val="22"/>
                <w:szCs w:val="22"/>
              </w:rPr>
              <w:t>the United States</w:t>
            </w:r>
            <w:r w:rsidR="00FF7CEF" w:rsidRPr="00FF7CEF">
              <w:rPr>
                <w:sz w:val="22"/>
                <w:szCs w:val="22"/>
              </w:rPr>
              <w:t xml:space="preserve">. </w:t>
            </w:r>
            <w:r w:rsidR="008770A8">
              <w:rPr>
                <w:sz w:val="22"/>
                <w:szCs w:val="22"/>
              </w:rPr>
              <w:t xml:space="preserve"> </w:t>
            </w:r>
          </w:p>
          <w:p w:rsidR="00D15180" w:rsidRDefault="00D1518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RDefault="005E3A9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Pr="00FF7CEF">
              <w:rPr>
                <w:sz w:val="22"/>
                <w:szCs w:val="22"/>
              </w:rPr>
              <w:t xml:space="preserve"> </w:t>
            </w:r>
            <w:r w:rsidR="00FF7CEF" w:rsidRPr="00CC3178">
              <w:rPr>
                <w:i/>
                <w:sz w:val="22"/>
                <w:szCs w:val="22"/>
              </w:rPr>
              <w:t>Order</w:t>
            </w:r>
            <w:r w:rsidR="00FF7CEF" w:rsidRPr="00FF7CEF">
              <w:rPr>
                <w:sz w:val="22"/>
                <w:szCs w:val="22"/>
              </w:rPr>
              <w:t xml:space="preserve"> focuses on </w:t>
            </w:r>
            <w:r w:rsidR="00F954A0">
              <w:rPr>
                <w:sz w:val="22"/>
                <w:szCs w:val="22"/>
              </w:rPr>
              <w:t xml:space="preserve">ensuring the Commission’s rules properly address </w:t>
            </w:r>
            <w:r w:rsidR="00FF7CEF" w:rsidRPr="00FF7CEF">
              <w:rPr>
                <w:sz w:val="22"/>
                <w:szCs w:val="22"/>
              </w:rPr>
              <w:t>the</w:t>
            </w:r>
            <w:r w:rsidR="00F954A0">
              <w:rPr>
                <w:sz w:val="22"/>
                <w:szCs w:val="22"/>
              </w:rPr>
              <w:t xml:space="preserve"> differences between large and small wireless facilities,</w:t>
            </w:r>
            <w:r w:rsidR="00FF7CEF" w:rsidRPr="00FF7CEF">
              <w:rPr>
                <w:sz w:val="22"/>
                <w:szCs w:val="22"/>
              </w:rPr>
              <w:t xml:space="preserve"> </w:t>
            </w:r>
            <w:r w:rsidR="00F954A0">
              <w:rPr>
                <w:sz w:val="22"/>
                <w:szCs w:val="22"/>
              </w:rPr>
              <w:t>and clarifies the treatment of small cell deployments</w:t>
            </w:r>
            <w:r>
              <w:rPr>
                <w:sz w:val="22"/>
                <w:szCs w:val="22"/>
              </w:rPr>
              <w:t xml:space="preserve">. </w:t>
            </w:r>
            <w:r w:rsidR="004C6BFB">
              <w:rPr>
                <w:sz w:val="22"/>
                <w:szCs w:val="22"/>
              </w:rPr>
              <w:t xml:space="preserve">Specifically, the </w:t>
            </w:r>
            <w:r w:rsidR="004C6BFB" w:rsidRPr="00CC3178">
              <w:rPr>
                <w:i/>
                <w:sz w:val="22"/>
                <w:szCs w:val="22"/>
              </w:rPr>
              <w:t>Order</w:t>
            </w:r>
            <w:r w:rsidR="004C6BFB">
              <w:rPr>
                <w:sz w:val="22"/>
                <w:szCs w:val="22"/>
              </w:rPr>
              <w:t>:</w:t>
            </w:r>
          </w:p>
          <w:p w:rsidR="001902C4" w:rsidRDefault="001902C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C6BFB" w:rsidRDefault="005E3A92" w:rsidP="00561EEC">
            <w:pPr>
              <w:pStyle w:val="ParaNum"/>
              <w:numPr>
                <w:ilvl w:val="0"/>
                <w:numId w:val="2"/>
              </w:numPr>
              <w:tabs>
                <w:tab w:val="left" w:pos="720"/>
                <w:tab w:val="left" w:pos="8640"/>
              </w:tabs>
            </w:pPr>
            <w:r>
              <w:t xml:space="preserve">Excludes small wireless facilities </w:t>
            </w:r>
            <w:r w:rsidR="005D4E5A" w:rsidRPr="005D4E5A">
              <w:t xml:space="preserve">deployed on non-Tribal lands </w:t>
            </w:r>
            <w:r w:rsidRPr="005D4E5A">
              <w:t xml:space="preserve">from </w:t>
            </w:r>
            <w:r w:rsidR="0056545B" w:rsidRPr="005D4E5A">
              <w:t>National Historic Preservation Act (</w:t>
            </w:r>
            <w:r w:rsidRPr="005D4E5A">
              <w:t>NHPA</w:t>
            </w:r>
            <w:r w:rsidR="0056545B" w:rsidRPr="005D4E5A">
              <w:t>)</w:t>
            </w:r>
            <w:r w:rsidRPr="005D4E5A">
              <w:t xml:space="preserve"> and</w:t>
            </w:r>
            <w:r w:rsidR="0056545B" w:rsidRPr="005D4E5A">
              <w:t xml:space="preserve"> National Environmental Policy Act</w:t>
            </w:r>
            <w:r w:rsidRPr="005D4E5A">
              <w:t xml:space="preserve"> </w:t>
            </w:r>
            <w:r w:rsidR="0056545B" w:rsidRPr="005D4E5A">
              <w:t>(</w:t>
            </w:r>
            <w:r w:rsidRPr="005D4E5A">
              <w:t>NEPA</w:t>
            </w:r>
            <w:r w:rsidR="0056545B" w:rsidRPr="005D4E5A">
              <w:t>)</w:t>
            </w:r>
            <w:r w:rsidRPr="005D4E5A">
              <w:t xml:space="preserve"> review, concluding that these facilities are not “undertakings” or “major federal actions.”  Small wireless facilities deployments continue to be subject </w:t>
            </w:r>
            <w:r>
              <w:t xml:space="preserve">to currently applicable state and local government approval </w:t>
            </w:r>
            <w:r>
              <w:t xml:space="preserve">requirements. </w:t>
            </w:r>
          </w:p>
          <w:p w:rsidR="004C6BFB" w:rsidRDefault="005E3A92" w:rsidP="00670CB5">
            <w:pPr>
              <w:pStyle w:val="ParaNum"/>
              <w:numPr>
                <w:ilvl w:val="0"/>
                <w:numId w:val="2"/>
              </w:numPr>
              <w:tabs>
                <w:tab w:val="left" w:pos="720"/>
                <w:tab w:val="left" w:pos="8640"/>
              </w:tabs>
            </w:pPr>
            <w:r>
              <w:t>Clarifies and makes improvements to the process for Tribal participation in Section 106 historic preservation reviews</w:t>
            </w:r>
            <w:r w:rsidR="001902C4">
              <w:t xml:space="preserve"> for large</w:t>
            </w:r>
            <w:r w:rsidR="00F954A0">
              <w:t xml:space="preserve"> </w:t>
            </w:r>
            <w:r w:rsidR="001902C4">
              <w:t>wireless facilities where NHPA/NEPA review is still required</w:t>
            </w:r>
            <w:r>
              <w:t xml:space="preserve">. </w:t>
            </w:r>
          </w:p>
          <w:p w:rsidR="004C6BFB" w:rsidRDefault="005E3A92" w:rsidP="00670CB5">
            <w:pPr>
              <w:pStyle w:val="ParaNum"/>
              <w:numPr>
                <w:ilvl w:val="0"/>
                <w:numId w:val="2"/>
              </w:numPr>
              <w:tabs>
                <w:tab w:val="left" w:pos="720"/>
                <w:tab w:val="left" w:pos="8640"/>
              </w:tabs>
            </w:pPr>
            <w:r>
              <w:t xml:space="preserve">Removes the requirement that applicants file Environmental Assessments solely due to the location of a proposed facility in a floodplain, as long as certain conditions are met. </w:t>
            </w:r>
          </w:p>
          <w:p w:rsidR="004C6BFB" w:rsidRPr="00670CB5" w:rsidRDefault="005E3A92" w:rsidP="00670CB5">
            <w:pPr>
              <w:pStyle w:val="ParaNum"/>
              <w:numPr>
                <w:ilvl w:val="0"/>
                <w:numId w:val="2"/>
              </w:numPr>
              <w:tabs>
                <w:tab w:val="left" w:pos="720"/>
                <w:tab w:val="left" w:pos="8640"/>
              </w:tabs>
            </w:pPr>
            <w:r>
              <w:t>Establishes timeframes for the Commission to act on E</w:t>
            </w:r>
            <w:r w:rsidR="00D22402">
              <w:t xml:space="preserve">nvironmental </w:t>
            </w:r>
            <w:r>
              <w:t>A</w:t>
            </w:r>
            <w:r w:rsidR="00D22402">
              <w:t>ssessment</w:t>
            </w:r>
            <w:r>
              <w:t>s.</w:t>
            </w:r>
          </w:p>
          <w:p w:rsidR="00BD19E8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C6BFB" w:rsidRDefault="005E3A92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actions taken today will reduce regulatory impediments </w:t>
            </w:r>
            <w:r w:rsidR="00F857FE">
              <w:rPr>
                <w:rStyle w:val="Hyperlink"/>
                <w:color w:val="auto"/>
                <w:sz w:val="22"/>
                <w:szCs w:val="22"/>
                <w:u w:val="none"/>
              </w:rPr>
              <w:t>to deploying small cells needed for 5G</w:t>
            </w:r>
            <w:r w:rsidR="00F954A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and</w:t>
            </w:r>
            <w:r w:rsidR="00F857F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help to expand the reach of 5G</w:t>
            </w:r>
            <w:r w:rsidR="00F857F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for faster, more reliable wireless service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and other advanced wireless technologies to more Americans.</w:t>
            </w:r>
          </w:p>
          <w:p w:rsidR="00462510" w:rsidRDefault="00462510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62510" w:rsidRPr="00462510" w:rsidRDefault="005E3A92" w:rsidP="00462510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46251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Action by the </w:t>
            </w:r>
            <w:r w:rsidRPr="0046251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Commission March 22, 2018 by Second Report and Order (FCC 18-30). Chairman </w:t>
            </w:r>
            <w:proofErr w:type="spellStart"/>
            <w:r w:rsidRPr="00462510">
              <w:rPr>
                <w:rStyle w:val="Hyperlink"/>
                <w:color w:val="auto"/>
                <w:sz w:val="22"/>
                <w:szCs w:val="22"/>
                <w:u w:val="none"/>
              </w:rPr>
              <w:t>Pai</w:t>
            </w:r>
            <w:proofErr w:type="spellEnd"/>
            <w:r w:rsidRPr="0046251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Commissioners </w:t>
            </w:r>
            <w:proofErr w:type="spellStart"/>
            <w:r w:rsidRPr="00462510">
              <w:rPr>
                <w:rStyle w:val="Hyperlink"/>
                <w:color w:val="auto"/>
                <w:sz w:val="22"/>
                <w:szCs w:val="22"/>
                <w:u w:val="none"/>
              </w:rPr>
              <w:t>O’Rielly</w:t>
            </w:r>
            <w:proofErr w:type="spellEnd"/>
            <w:r w:rsidRPr="0046251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and Carr approving.  Commissioners Clyburn and </w:t>
            </w:r>
            <w:proofErr w:type="spellStart"/>
            <w:r w:rsidRPr="00462510">
              <w:rPr>
                <w:rStyle w:val="Hyperlink"/>
                <w:color w:val="auto"/>
                <w:sz w:val="22"/>
                <w:szCs w:val="22"/>
                <w:u w:val="none"/>
              </w:rPr>
              <w:t>Rosenworcel</w:t>
            </w:r>
            <w:proofErr w:type="spellEnd"/>
            <w:r w:rsidRPr="0046251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dissenting.  Chairman </w:t>
            </w:r>
            <w:proofErr w:type="spellStart"/>
            <w:r w:rsidRPr="00462510">
              <w:rPr>
                <w:rStyle w:val="Hyperlink"/>
                <w:color w:val="auto"/>
                <w:sz w:val="22"/>
                <w:szCs w:val="22"/>
                <w:u w:val="none"/>
              </w:rPr>
              <w:t>Pai</w:t>
            </w:r>
            <w:proofErr w:type="spellEnd"/>
            <w:r w:rsidRPr="0046251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Commissioners Clyburn, </w:t>
            </w:r>
            <w:proofErr w:type="spellStart"/>
            <w:r w:rsidRPr="00462510">
              <w:rPr>
                <w:rStyle w:val="Hyperlink"/>
                <w:color w:val="auto"/>
                <w:sz w:val="22"/>
                <w:szCs w:val="22"/>
                <w:u w:val="none"/>
              </w:rPr>
              <w:t>O’Rielly</w:t>
            </w:r>
            <w:proofErr w:type="spellEnd"/>
            <w:r w:rsidRPr="0046251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Carr and </w:t>
            </w:r>
            <w:proofErr w:type="spellStart"/>
            <w:r w:rsidRPr="00462510">
              <w:rPr>
                <w:rStyle w:val="Hyperlink"/>
                <w:color w:val="auto"/>
                <w:sz w:val="22"/>
                <w:szCs w:val="22"/>
                <w:u w:val="none"/>
              </w:rPr>
              <w:t>Rosenworcel</w:t>
            </w:r>
            <w:proofErr w:type="spellEnd"/>
            <w:r w:rsidRPr="0046251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issuing separ</w:t>
            </w:r>
            <w:r w:rsidRPr="00462510">
              <w:rPr>
                <w:rStyle w:val="Hyperlink"/>
                <w:color w:val="auto"/>
                <w:sz w:val="22"/>
                <w:szCs w:val="22"/>
                <w:u w:val="none"/>
              </w:rPr>
              <w:t>ate statements.</w:t>
            </w:r>
          </w:p>
          <w:p w:rsidR="00462510" w:rsidRPr="00462510" w:rsidRDefault="00462510" w:rsidP="00462510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62510" w:rsidRDefault="005E3A92" w:rsidP="00462510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462510">
              <w:rPr>
                <w:rStyle w:val="Hyperlink"/>
                <w:color w:val="auto"/>
                <w:sz w:val="22"/>
                <w:szCs w:val="22"/>
                <w:u w:val="none"/>
              </w:rPr>
              <w:t>WT Docket No. 17-79</w:t>
            </w:r>
          </w:p>
          <w:p w:rsidR="004C6BFB" w:rsidRPr="00FF7CEF" w:rsidRDefault="004C6BFB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RDefault="005E3A92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RDefault="005E3A92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lastRenderedPageBreak/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5E3A92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RDefault="005E3A92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5E3A92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5E3A92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5E3A92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 xml:space="preserve">This is an unofficial announcement of Commission action.  Release of </w:t>
            </w:r>
            <w:r w:rsidRPr="00986C92">
              <w:rPr>
                <w:bCs/>
                <w:i/>
                <w:sz w:val="18"/>
                <w:szCs w:val="18"/>
              </w:rPr>
              <w:t>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4A7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92" w:rsidRDefault="005E3A92" w:rsidP="00552E7C">
      <w:r>
        <w:separator/>
      </w:r>
    </w:p>
  </w:endnote>
  <w:endnote w:type="continuationSeparator" w:id="0">
    <w:p w:rsidR="005E3A92" w:rsidRDefault="005E3A92" w:rsidP="0055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6D" w:rsidRDefault="00D02D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6D" w:rsidRDefault="00D02D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6D" w:rsidRDefault="00D02D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92" w:rsidRDefault="005E3A92" w:rsidP="00552E7C">
      <w:r>
        <w:separator/>
      </w:r>
    </w:p>
  </w:footnote>
  <w:footnote w:type="continuationSeparator" w:id="0">
    <w:p w:rsidR="005E3A92" w:rsidRDefault="005E3A92" w:rsidP="00552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6D" w:rsidRDefault="00D02D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6D" w:rsidRDefault="00D02D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6D" w:rsidRDefault="00D02D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2525"/>
    <w:multiLevelType w:val="hybridMultilevel"/>
    <w:tmpl w:val="09569F20"/>
    <w:lvl w:ilvl="0" w:tplc="C9EC0A34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BDBA38E8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82E042A0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653E8E78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12EC661E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FCC019FE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9FE0CBF8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7BA500C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70CCD2B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D970568"/>
    <w:multiLevelType w:val="hybridMultilevel"/>
    <w:tmpl w:val="B112757C"/>
    <w:lvl w:ilvl="0" w:tplc="6D3AD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327F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16A9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341E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6AC36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F8AC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A6FD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726A8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80E7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1A50F6B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71923CDD"/>
    <w:multiLevelType w:val="hybridMultilevel"/>
    <w:tmpl w:val="44829C92"/>
    <w:lvl w:ilvl="0" w:tplc="7BD04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8B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980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ED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8A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8D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00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4B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6B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E2D"/>
    <w:rsid w:val="00017C6C"/>
    <w:rsid w:val="0002500C"/>
    <w:rsid w:val="000311FC"/>
    <w:rsid w:val="00031A0C"/>
    <w:rsid w:val="00040127"/>
    <w:rsid w:val="00065E2D"/>
    <w:rsid w:val="00071FF2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66F1"/>
    <w:rsid w:val="001865A9"/>
    <w:rsid w:val="00187DB2"/>
    <w:rsid w:val="001902C4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A4464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2510"/>
    <w:rsid w:val="00473E9C"/>
    <w:rsid w:val="00480099"/>
    <w:rsid w:val="00497858"/>
    <w:rsid w:val="004A729A"/>
    <w:rsid w:val="004B4FEA"/>
    <w:rsid w:val="004C0ADA"/>
    <w:rsid w:val="004C433E"/>
    <w:rsid w:val="004C4512"/>
    <w:rsid w:val="004C4F36"/>
    <w:rsid w:val="004C6BFB"/>
    <w:rsid w:val="004D3D85"/>
    <w:rsid w:val="004E2BD8"/>
    <w:rsid w:val="004F0F1F"/>
    <w:rsid w:val="005022AA"/>
    <w:rsid w:val="00504845"/>
    <w:rsid w:val="0050757F"/>
    <w:rsid w:val="00516AD2"/>
    <w:rsid w:val="00545DAE"/>
    <w:rsid w:val="00552E7C"/>
    <w:rsid w:val="00561EEC"/>
    <w:rsid w:val="0056545B"/>
    <w:rsid w:val="00571B83"/>
    <w:rsid w:val="00575A00"/>
    <w:rsid w:val="0058673C"/>
    <w:rsid w:val="005A7972"/>
    <w:rsid w:val="005B17E7"/>
    <w:rsid w:val="005B2643"/>
    <w:rsid w:val="005D17FD"/>
    <w:rsid w:val="005D4E5A"/>
    <w:rsid w:val="005E3A92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0CB5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3185A"/>
    <w:rsid w:val="00850E26"/>
    <w:rsid w:val="00865EAA"/>
    <w:rsid w:val="00866F06"/>
    <w:rsid w:val="008728F5"/>
    <w:rsid w:val="008770A8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5DFD"/>
    <w:rsid w:val="00A702DF"/>
    <w:rsid w:val="00A775A3"/>
    <w:rsid w:val="00A81700"/>
    <w:rsid w:val="00A81B5B"/>
    <w:rsid w:val="00A82FAD"/>
    <w:rsid w:val="00A9673A"/>
    <w:rsid w:val="00A96EF2"/>
    <w:rsid w:val="00AA1173"/>
    <w:rsid w:val="00AA5C35"/>
    <w:rsid w:val="00AA5ED9"/>
    <w:rsid w:val="00AC0A38"/>
    <w:rsid w:val="00AC4E0E"/>
    <w:rsid w:val="00AC517B"/>
    <w:rsid w:val="00AD0D19"/>
    <w:rsid w:val="00AF051B"/>
    <w:rsid w:val="00B037A2"/>
    <w:rsid w:val="00B3069A"/>
    <w:rsid w:val="00B31870"/>
    <w:rsid w:val="00B320B8"/>
    <w:rsid w:val="00B35EE2"/>
    <w:rsid w:val="00B36DEF"/>
    <w:rsid w:val="00B4612E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3178"/>
    <w:rsid w:val="00CC5E08"/>
    <w:rsid w:val="00CE14FD"/>
    <w:rsid w:val="00CF6860"/>
    <w:rsid w:val="00D02AC6"/>
    <w:rsid w:val="00D02D6D"/>
    <w:rsid w:val="00D03F0C"/>
    <w:rsid w:val="00D04312"/>
    <w:rsid w:val="00D115F1"/>
    <w:rsid w:val="00D15180"/>
    <w:rsid w:val="00D16A7F"/>
    <w:rsid w:val="00D16AD2"/>
    <w:rsid w:val="00D2240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35AA"/>
    <w:rsid w:val="00F26E31"/>
    <w:rsid w:val="00F27C6C"/>
    <w:rsid w:val="00F3422C"/>
    <w:rsid w:val="00F34A8D"/>
    <w:rsid w:val="00F50D25"/>
    <w:rsid w:val="00F535D8"/>
    <w:rsid w:val="00F61155"/>
    <w:rsid w:val="00F708E3"/>
    <w:rsid w:val="00F76561"/>
    <w:rsid w:val="00F84736"/>
    <w:rsid w:val="00F857FE"/>
    <w:rsid w:val="00F954A0"/>
    <w:rsid w:val="00FC1BC8"/>
    <w:rsid w:val="00FC6C29"/>
    <w:rsid w:val="00FD58E0"/>
    <w:rsid w:val="00FD71AE"/>
    <w:rsid w:val="00FE0198"/>
    <w:rsid w:val="00FE3A7C"/>
    <w:rsid w:val="00FF1C0B"/>
    <w:rsid w:val="00FF232D"/>
    <w:rsid w:val="00FF7CEF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6BFB"/>
    <w:pPr>
      <w:ind w:left="720"/>
      <w:contextualSpacing/>
    </w:pPr>
  </w:style>
  <w:style w:type="character" w:customStyle="1" w:styleId="ParaNumChar">
    <w:name w:val="ParaNum Char"/>
    <w:link w:val="ParaNum"/>
    <w:locked/>
    <w:rsid w:val="001902C4"/>
    <w:rPr>
      <w:kern w:val="28"/>
      <w:sz w:val="22"/>
    </w:rPr>
  </w:style>
  <w:style w:type="paragraph" w:customStyle="1" w:styleId="ParaNum">
    <w:name w:val="ParaNum"/>
    <w:basedOn w:val="Normal"/>
    <w:link w:val="ParaNumChar"/>
    <w:rsid w:val="001902C4"/>
    <w:pPr>
      <w:widowControl w:val="0"/>
      <w:numPr>
        <w:numId w:val="3"/>
      </w:numPr>
      <w:snapToGrid w:val="0"/>
      <w:spacing w:after="120"/>
    </w:pPr>
    <w:rPr>
      <w:kern w:val="28"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15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51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02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D6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02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2D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C56A-45EB-4870-AD0B-5B7E367B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2019-03-15T18:11:00Z</dcterms:created>
  <dcterms:modified xsi:type="dcterms:W3CDTF">2019-03-15T18:11:00Z</dcterms:modified>
</cp:coreProperties>
</file>